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EB7" w:rsidRDefault="006B66DF" w:rsidP="006B66DF">
      <w:pPr>
        <w:tabs>
          <w:tab w:val="left" w:pos="3750"/>
        </w:tabs>
        <w:rPr>
          <w:b/>
        </w:rPr>
      </w:pPr>
      <w:r>
        <w:rPr>
          <w:b/>
        </w:rPr>
        <w:tab/>
      </w:r>
      <w:r>
        <w:rPr>
          <w:b/>
          <w:noProof/>
          <w:szCs w:val="24"/>
        </w:rPr>
        <w:drawing>
          <wp:inline distT="0" distB="0" distL="0" distR="0" wp14:anchorId="6AF9E966" wp14:editId="107BD1F0">
            <wp:extent cx="952500" cy="933450"/>
            <wp:effectExtent l="0" t="0" r="0" b="0"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ADF" w:rsidRDefault="004A2812" w:rsidP="006450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</w:pPr>
      <w:r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RE-ADVERTISEMENT </w:t>
      </w:r>
    </w:p>
    <w:p w:rsidR="00AB036F" w:rsidRDefault="006450E8" w:rsidP="006450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</w:pPr>
      <w:r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PROCUREMENT NOTICE; MINOR WORKS</w:t>
      </w:r>
    </w:p>
    <w:p w:rsidR="00977563" w:rsidRPr="00AB036F" w:rsidRDefault="00977563" w:rsidP="006450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</w:pPr>
    </w:p>
    <w:p w:rsidR="00790FE0" w:rsidRPr="00BB2111" w:rsidRDefault="00790FE0" w:rsidP="00BB211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BB2111">
        <w:rPr>
          <w:rFonts w:ascii="Century Gothic" w:hAnsi="Century Gothic"/>
        </w:rPr>
        <w:t>University of Malawi has budgeted public funds</w:t>
      </w:r>
      <w:r w:rsidR="00947DCA">
        <w:rPr>
          <w:rFonts w:ascii="Century Gothic" w:hAnsi="Century Gothic"/>
        </w:rPr>
        <w:t xml:space="preserve"> under NORHED Law Project</w:t>
      </w:r>
      <w:r w:rsidRPr="00BB2111">
        <w:rPr>
          <w:rFonts w:ascii="Century Gothic" w:hAnsi="Century Gothic"/>
        </w:rPr>
        <w:t xml:space="preserve"> for </w:t>
      </w:r>
      <w:r w:rsidR="00AB036F" w:rsidRPr="00BB2111">
        <w:rPr>
          <w:rFonts w:ascii="Century Gothic" w:hAnsi="Century Gothic"/>
        </w:rPr>
        <w:t xml:space="preserve">minor </w:t>
      </w:r>
      <w:r w:rsidR="00AB036F" w:rsidRPr="00BB2111">
        <w:rPr>
          <w:rFonts w:ascii="Century Gothic" w:hAnsi="Century Gothic"/>
          <w:b/>
        </w:rPr>
        <w:t>renovation works at the postgraduate lecture room within the department of law</w:t>
      </w:r>
      <w:r w:rsidR="00BB2111">
        <w:rPr>
          <w:rFonts w:ascii="Century Gothic" w:hAnsi="Century Gothic"/>
        </w:rPr>
        <w:t xml:space="preserve"> a</w:t>
      </w:r>
      <w:r w:rsidR="00BB2111" w:rsidRPr="00BB2111">
        <w:rPr>
          <w:rFonts w:ascii="Century Gothic" w:hAnsi="Century Gothic"/>
        </w:rPr>
        <w:t xml:space="preserve">nd </w:t>
      </w:r>
      <w:r w:rsidRPr="00BB2111">
        <w:rPr>
          <w:rFonts w:ascii="Century Gothic" w:hAnsi="Century Gothic"/>
        </w:rPr>
        <w:t xml:space="preserve">now invites sealed </w:t>
      </w:r>
      <w:r w:rsidR="00BB2111">
        <w:rPr>
          <w:rFonts w:ascii="Century Gothic" w:hAnsi="Century Gothic"/>
        </w:rPr>
        <w:t>b</w:t>
      </w:r>
      <w:r w:rsidRPr="00BB2111">
        <w:rPr>
          <w:rFonts w:ascii="Century Gothic" w:hAnsi="Century Gothic"/>
        </w:rPr>
        <w:t xml:space="preserve">ids from interested eligible qualified </w:t>
      </w:r>
      <w:r w:rsidR="00BD4C08">
        <w:rPr>
          <w:rFonts w:ascii="Century Gothic" w:hAnsi="Century Gothic"/>
        </w:rPr>
        <w:t>b</w:t>
      </w:r>
      <w:r w:rsidRPr="00BB2111">
        <w:rPr>
          <w:rFonts w:ascii="Century Gothic" w:hAnsi="Century Gothic"/>
        </w:rPr>
        <w:t xml:space="preserve">idders to submit their </w:t>
      </w:r>
      <w:r w:rsidR="00BD4C08">
        <w:rPr>
          <w:rFonts w:ascii="Century Gothic" w:hAnsi="Century Gothic"/>
        </w:rPr>
        <w:t>b</w:t>
      </w:r>
      <w:r w:rsidRPr="00BB2111">
        <w:rPr>
          <w:rFonts w:ascii="Century Gothic" w:hAnsi="Century Gothic"/>
        </w:rPr>
        <w:t xml:space="preserve">ids for the procurement </w:t>
      </w:r>
      <w:r w:rsidR="00024151" w:rsidRPr="00BB2111">
        <w:rPr>
          <w:rFonts w:ascii="Century Gothic" w:hAnsi="Century Gothic"/>
        </w:rPr>
        <w:t>activity</w:t>
      </w:r>
      <w:r w:rsidRPr="00BB2111">
        <w:rPr>
          <w:rFonts w:ascii="Century Gothic" w:hAnsi="Century Gothic"/>
        </w:rPr>
        <w:t xml:space="preserve"> as detailed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2585"/>
        <w:gridCol w:w="2115"/>
        <w:gridCol w:w="1929"/>
        <w:gridCol w:w="1501"/>
      </w:tblGrid>
      <w:tr w:rsidR="00F47B7A" w:rsidRPr="00B42CA7" w:rsidTr="007F445F">
        <w:tc>
          <w:tcPr>
            <w:tcW w:w="1220" w:type="dxa"/>
            <w:tcBorders>
              <w:bottom w:val="single" w:sz="4" w:space="0" w:color="auto"/>
            </w:tcBorders>
          </w:tcPr>
          <w:p w:rsidR="00F47B7A" w:rsidRPr="00B42CA7" w:rsidRDefault="00F47B7A" w:rsidP="00B42CA7">
            <w:pPr>
              <w:jc w:val="both"/>
              <w:rPr>
                <w:rFonts w:ascii="Century Gothic" w:hAnsi="Century Gothic"/>
                <w:b/>
              </w:rPr>
            </w:pPr>
            <w:r w:rsidRPr="00B42CA7">
              <w:rPr>
                <w:rFonts w:ascii="Century Gothic" w:hAnsi="Century Gothic"/>
                <w:b/>
              </w:rPr>
              <w:t>SERIAL NO.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F47B7A" w:rsidRPr="00B42CA7" w:rsidRDefault="00F47B7A" w:rsidP="00B42CA7">
            <w:pPr>
              <w:jc w:val="both"/>
              <w:rPr>
                <w:rFonts w:ascii="Century Gothic" w:hAnsi="Century Gothic"/>
                <w:b/>
              </w:rPr>
            </w:pPr>
            <w:r w:rsidRPr="00B42CA7">
              <w:rPr>
                <w:rFonts w:ascii="Century Gothic" w:hAnsi="Century Gothic"/>
                <w:b/>
              </w:rPr>
              <w:t>DESCRIPTION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F47B7A" w:rsidRPr="00B42CA7" w:rsidRDefault="00F47B7A" w:rsidP="00B42CA7">
            <w:pPr>
              <w:jc w:val="both"/>
              <w:rPr>
                <w:rFonts w:ascii="Century Gothic" w:hAnsi="Century Gothic"/>
                <w:b/>
              </w:rPr>
            </w:pPr>
            <w:r w:rsidRPr="00B42CA7">
              <w:rPr>
                <w:rFonts w:ascii="Century Gothic" w:hAnsi="Century Gothic"/>
                <w:b/>
              </w:rPr>
              <w:t>PROCUREMENT REFERENCE NUMBER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F47B7A" w:rsidRPr="00B42CA7" w:rsidRDefault="00F47B7A" w:rsidP="00B42CA7">
            <w:pPr>
              <w:jc w:val="both"/>
              <w:rPr>
                <w:rFonts w:ascii="Century Gothic" w:hAnsi="Century Gothic"/>
                <w:b/>
              </w:rPr>
            </w:pPr>
            <w:r w:rsidRPr="00B42CA7">
              <w:rPr>
                <w:rFonts w:ascii="Century Gothic" w:hAnsi="Century Gothic"/>
                <w:b/>
              </w:rPr>
              <w:t>DURATION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F47B7A" w:rsidRPr="00B42CA7" w:rsidRDefault="00F47B7A" w:rsidP="00B42CA7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CATEGORY</w:t>
            </w:r>
          </w:p>
        </w:tc>
      </w:tr>
      <w:tr w:rsidR="00F47B7A" w:rsidRPr="00B42CA7" w:rsidTr="007F445F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7A" w:rsidRPr="00B42CA7" w:rsidRDefault="00F47B7A" w:rsidP="00B42CA7">
            <w:pPr>
              <w:jc w:val="both"/>
              <w:rPr>
                <w:rFonts w:ascii="Century Gothic" w:hAnsi="Century Gothic"/>
              </w:rPr>
            </w:pPr>
            <w:r w:rsidRPr="00B42CA7">
              <w:rPr>
                <w:rFonts w:ascii="Century Gothic" w:hAnsi="Century Gothic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7A" w:rsidRPr="00B42CA7" w:rsidRDefault="00BD4C08" w:rsidP="001921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Minor Renovation Works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7A" w:rsidRDefault="00F47B7A" w:rsidP="00B42CA7">
            <w:pPr>
              <w:jc w:val="both"/>
              <w:rPr>
                <w:rFonts w:ascii="Century Gothic" w:hAnsi="Century Gothic"/>
              </w:rPr>
            </w:pPr>
          </w:p>
          <w:p w:rsidR="00F47B7A" w:rsidRPr="00B42CA7" w:rsidRDefault="00BD4C08" w:rsidP="00B42CA7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W16</w:t>
            </w:r>
            <w:r w:rsidR="00F47B7A" w:rsidRPr="00AD640A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>11</w:t>
            </w:r>
            <w:r w:rsidR="00F47B7A" w:rsidRPr="00AD640A">
              <w:rPr>
                <w:rFonts w:ascii="Century Gothic" w:hAnsi="Century Gothic"/>
              </w:rPr>
              <w:t>-22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7A" w:rsidRDefault="00F47B7A" w:rsidP="00B42CA7">
            <w:pPr>
              <w:jc w:val="both"/>
              <w:rPr>
                <w:rFonts w:ascii="Century Gothic" w:hAnsi="Century Gothic"/>
              </w:rPr>
            </w:pPr>
          </w:p>
          <w:p w:rsidR="00F47B7A" w:rsidRPr="00B42CA7" w:rsidRDefault="00A6460D" w:rsidP="00B42CA7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 weeks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7A" w:rsidRDefault="00F47B7A" w:rsidP="00B42CA7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Small and Medium Enterprises</w:t>
            </w:r>
          </w:p>
        </w:tc>
      </w:tr>
    </w:tbl>
    <w:p w:rsidR="00790FE0" w:rsidRPr="00B42CA7" w:rsidRDefault="00790FE0" w:rsidP="00B42CA7">
      <w:pPr>
        <w:jc w:val="both"/>
        <w:rPr>
          <w:rFonts w:ascii="Century Gothic" w:hAnsi="Century Gothic"/>
        </w:rPr>
      </w:pPr>
    </w:p>
    <w:p w:rsidR="00156B58" w:rsidRPr="00947DCA" w:rsidRDefault="00390B42" w:rsidP="00947DC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947DCA">
        <w:rPr>
          <w:rFonts w:ascii="Century Gothic" w:hAnsi="Century Gothic"/>
        </w:rPr>
        <w:t xml:space="preserve">Bidding will be conducted in accordance with </w:t>
      </w:r>
      <w:r w:rsidR="00A6460D" w:rsidRPr="00947DCA">
        <w:rPr>
          <w:rFonts w:ascii="Century Gothic" w:hAnsi="Century Gothic"/>
        </w:rPr>
        <w:t xml:space="preserve">competitive </w:t>
      </w:r>
      <w:r w:rsidRPr="00947DCA">
        <w:rPr>
          <w:rFonts w:ascii="Century Gothic" w:hAnsi="Century Gothic"/>
        </w:rPr>
        <w:t xml:space="preserve">procedures contained in the Public Procurement and Disposal of Assets </w:t>
      </w:r>
      <w:r w:rsidR="008F03C8" w:rsidRPr="00947DCA">
        <w:rPr>
          <w:rFonts w:ascii="Century Gothic" w:hAnsi="Century Gothic"/>
        </w:rPr>
        <w:t>Act</w:t>
      </w:r>
      <w:r w:rsidRPr="00947DCA">
        <w:rPr>
          <w:rFonts w:ascii="Century Gothic" w:hAnsi="Century Gothic"/>
        </w:rPr>
        <w:t xml:space="preserve"> 2017 and</w:t>
      </w:r>
      <w:r w:rsidR="008F03C8" w:rsidRPr="00947DCA">
        <w:rPr>
          <w:rFonts w:ascii="Century Gothic" w:hAnsi="Century Gothic"/>
        </w:rPr>
        <w:t xml:space="preserve"> Public Procurement</w:t>
      </w:r>
      <w:r w:rsidRPr="00947DCA">
        <w:rPr>
          <w:rFonts w:ascii="Century Gothic" w:hAnsi="Century Gothic"/>
        </w:rPr>
        <w:t xml:space="preserve"> Regulations 2020 of the Government of the Republic of Malawi and is open to </w:t>
      </w:r>
      <w:r w:rsidR="00A6460D" w:rsidRPr="00947DCA">
        <w:rPr>
          <w:rFonts w:ascii="Century Gothic" w:hAnsi="Century Gothic"/>
        </w:rPr>
        <w:t xml:space="preserve">contractors in </w:t>
      </w:r>
      <w:r w:rsidR="00387157">
        <w:rPr>
          <w:rFonts w:ascii="Century Gothic" w:hAnsi="Century Gothic"/>
        </w:rPr>
        <w:t>1</w:t>
      </w:r>
      <w:r w:rsidR="00A6460D" w:rsidRPr="00947DCA">
        <w:rPr>
          <w:rFonts w:ascii="Century Gothic" w:hAnsi="Century Gothic"/>
        </w:rPr>
        <w:t>00 million</w:t>
      </w:r>
      <w:r w:rsidR="00C715F0">
        <w:rPr>
          <w:rFonts w:ascii="Century Gothic" w:hAnsi="Century Gothic"/>
        </w:rPr>
        <w:t xml:space="preserve"> kwacha</w:t>
      </w:r>
      <w:r w:rsidR="00A6460D" w:rsidRPr="00947DCA">
        <w:rPr>
          <w:rFonts w:ascii="Century Gothic" w:hAnsi="Century Gothic"/>
        </w:rPr>
        <w:t xml:space="preserve"> </w:t>
      </w:r>
      <w:r w:rsidR="00387157">
        <w:rPr>
          <w:rFonts w:ascii="Century Gothic" w:hAnsi="Century Gothic"/>
        </w:rPr>
        <w:t xml:space="preserve">building </w:t>
      </w:r>
      <w:r w:rsidR="00A6460D" w:rsidRPr="00947DCA">
        <w:rPr>
          <w:rFonts w:ascii="Century Gothic" w:hAnsi="Century Gothic"/>
        </w:rPr>
        <w:t>category</w:t>
      </w:r>
      <w:r w:rsidR="00387157">
        <w:rPr>
          <w:rFonts w:ascii="Century Gothic" w:hAnsi="Century Gothic"/>
        </w:rPr>
        <w:t xml:space="preserve"> and above</w:t>
      </w:r>
      <w:r w:rsidRPr="00947DCA">
        <w:rPr>
          <w:rFonts w:ascii="Century Gothic" w:hAnsi="Century Gothic"/>
        </w:rPr>
        <w:t>.</w:t>
      </w:r>
    </w:p>
    <w:p w:rsidR="00947DCA" w:rsidRPr="00947DCA" w:rsidRDefault="00947DCA" w:rsidP="00947DC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site visit shall be held on </w:t>
      </w:r>
      <w:r w:rsidR="00214ADF">
        <w:rPr>
          <w:rFonts w:ascii="Century Gothic" w:hAnsi="Century Gothic"/>
        </w:rPr>
        <w:t>Friday, 27</w:t>
      </w:r>
      <w:r w:rsidR="00214ADF" w:rsidRPr="00214ADF">
        <w:rPr>
          <w:rFonts w:ascii="Century Gothic" w:hAnsi="Century Gothic"/>
          <w:vertAlign w:val="superscript"/>
        </w:rPr>
        <w:t>th</w:t>
      </w:r>
      <w:r w:rsidR="00214ADF">
        <w:rPr>
          <w:rFonts w:ascii="Century Gothic" w:hAnsi="Century Gothic"/>
        </w:rPr>
        <w:t xml:space="preserve"> January 2023</w:t>
      </w:r>
      <w:r>
        <w:rPr>
          <w:rFonts w:ascii="Century Gothic" w:hAnsi="Century Gothic"/>
        </w:rPr>
        <w:t xml:space="preserve"> at Department of Law Building.</w:t>
      </w:r>
    </w:p>
    <w:p w:rsidR="00156B58" w:rsidRPr="00B42CA7" w:rsidRDefault="006B66DF" w:rsidP="00B42CA7">
      <w:pPr>
        <w:ind w:left="720" w:hanging="360"/>
        <w:jc w:val="both"/>
        <w:rPr>
          <w:rFonts w:ascii="Century Gothic" w:hAnsi="Century Gothic"/>
        </w:rPr>
      </w:pPr>
      <w:r w:rsidRPr="00B42CA7">
        <w:rPr>
          <w:rFonts w:ascii="Century Gothic" w:hAnsi="Century Gothic"/>
        </w:rPr>
        <w:t>4.</w:t>
      </w:r>
      <w:r w:rsidRPr="00B42CA7">
        <w:rPr>
          <w:rFonts w:ascii="Century Gothic" w:hAnsi="Century Gothic"/>
        </w:rPr>
        <w:tab/>
      </w:r>
      <w:r w:rsidR="00156B58" w:rsidRPr="00B42CA7">
        <w:rPr>
          <w:rFonts w:ascii="Century Gothic" w:hAnsi="Century Gothic"/>
        </w:rPr>
        <w:t xml:space="preserve">A complete set of Bidding Document in English </w:t>
      </w:r>
      <w:r w:rsidR="00200D37">
        <w:rPr>
          <w:rFonts w:ascii="Century Gothic" w:hAnsi="Century Gothic"/>
        </w:rPr>
        <w:t>is available and can be accessed free of charge</w:t>
      </w:r>
      <w:r w:rsidR="00214ADF">
        <w:rPr>
          <w:rFonts w:ascii="Century Gothic" w:hAnsi="Century Gothic"/>
        </w:rPr>
        <w:t xml:space="preserve"> either</w:t>
      </w:r>
      <w:r w:rsidR="00200D37">
        <w:rPr>
          <w:rFonts w:ascii="Century Gothic" w:hAnsi="Century Gothic"/>
        </w:rPr>
        <w:t xml:space="preserve"> from the </w:t>
      </w:r>
      <w:r w:rsidR="00214ADF">
        <w:rPr>
          <w:rFonts w:ascii="Century Gothic" w:hAnsi="Century Gothic"/>
        </w:rPr>
        <w:t xml:space="preserve">Procurement and Disposal Unit or from </w:t>
      </w:r>
      <w:r w:rsidR="00200D37">
        <w:rPr>
          <w:rFonts w:ascii="Century Gothic" w:hAnsi="Century Gothic"/>
        </w:rPr>
        <w:t>University website; www.unima.ac.mw.</w:t>
      </w:r>
    </w:p>
    <w:p w:rsidR="00156B58" w:rsidRPr="00B42CA7" w:rsidRDefault="006B66DF" w:rsidP="00B42CA7">
      <w:pPr>
        <w:ind w:left="720" w:hanging="360"/>
        <w:jc w:val="both"/>
        <w:rPr>
          <w:rFonts w:ascii="Century Gothic" w:hAnsi="Century Gothic"/>
        </w:rPr>
      </w:pPr>
      <w:r w:rsidRPr="00B42CA7">
        <w:rPr>
          <w:rFonts w:ascii="Century Gothic" w:hAnsi="Century Gothic"/>
        </w:rPr>
        <w:t>5.</w:t>
      </w:r>
      <w:r w:rsidRPr="00B42CA7">
        <w:rPr>
          <w:rFonts w:ascii="Century Gothic" w:hAnsi="Century Gothic"/>
        </w:rPr>
        <w:tab/>
      </w:r>
      <w:r w:rsidR="00214ADF">
        <w:rPr>
          <w:rFonts w:ascii="Century Gothic" w:hAnsi="Century Gothic"/>
        </w:rPr>
        <w:t>Sealed b</w:t>
      </w:r>
      <w:r w:rsidR="00156B58" w:rsidRPr="00B42CA7">
        <w:rPr>
          <w:rFonts w:ascii="Century Gothic" w:hAnsi="Century Gothic"/>
        </w:rPr>
        <w:t xml:space="preserve">ids must be </w:t>
      </w:r>
      <w:r w:rsidR="00214ADF">
        <w:rPr>
          <w:rFonts w:ascii="Century Gothic" w:hAnsi="Century Gothic"/>
        </w:rPr>
        <w:t>deposited</w:t>
      </w:r>
      <w:r w:rsidR="00156B58" w:rsidRPr="00B42CA7">
        <w:rPr>
          <w:rFonts w:ascii="Century Gothic" w:hAnsi="Century Gothic"/>
        </w:rPr>
        <w:t xml:space="preserve"> </w:t>
      </w:r>
      <w:r w:rsidR="00214ADF">
        <w:rPr>
          <w:rFonts w:ascii="Century Gothic" w:hAnsi="Century Gothic"/>
        </w:rPr>
        <w:t>in tender box located at the University’s Porters Lodge by</w:t>
      </w:r>
      <w:bookmarkStart w:id="0" w:name="_Hlk120004694"/>
      <w:r w:rsidR="00214ADF">
        <w:rPr>
          <w:rFonts w:ascii="Century Gothic" w:hAnsi="Century Gothic"/>
        </w:rPr>
        <w:t xml:space="preserve"> Wednes</w:t>
      </w:r>
      <w:r w:rsidR="00E774B8">
        <w:rPr>
          <w:rFonts w:ascii="Century Gothic" w:hAnsi="Century Gothic"/>
        </w:rPr>
        <w:t>day</w:t>
      </w:r>
      <w:r w:rsidR="00AB0037">
        <w:rPr>
          <w:rFonts w:ascii="Century Gothic" w:hAnsi="Century Gothic"/>
        </w:rPr>
        <w:t xml:space="preserve">, </w:t>
      </w:r>
      <w:r w:rsidR="00214ADF">
        <w:rPr>
          <w:rFonts w:ascii="Century Gothic" w:hAnsi="Century Gothic"/>
          <w:b/>
        </w:rPr>
        <w:t>8</w:t>
      </w:r>
      <w:r w:rsidR="00214ADF" w:rsidRPr="00214ADF">
        <w:rPr>
          <w:rFonts w:ascii="Century Gothic" w:hAnsi="Century Gothic"/>
          <w:b/>
          <w:vertAlign w:val="superscript"/>
        </w:rPr>
        <w:t>th</w:t>
      </w:r>
      <w:r w:rsidR="00214ADF">
        <w:rPr>
          <w:rFonts w:ascii="Century Gothic" w:hAnsi="Century Gothic"/>
          <w:b/>
        </w:rPr>
        <w:t xml:space="preserve"> February 2023</w:t>
      </w:r>
      <w:r w:rsidR="006666F6">
        <w:rPr>
          <w:rFonts w:ascii="Century Gothic" w:hAnsi="Century Gothic"/>
          <w:b/>
        </w:rPr>
        <w:t xml:space="preserve"> </w:t>
      </w:r>
      <w:bookmarkEnd w:id="0"/>
      <w:r w:rsidR="0019212E">
        <w:rPr>
          <w:rFonts w:ascii="Century Gothic" w:hAnsi="Century Gothic"/>
        </w:rPr>
        <w:t xml:space="preserve">at </w:t>
      </w:r>
      <w:r w:rsidR="00156B58" w:rsidRPr="00B42CA7">
        <w:rPr>
          <w:rFonts w:ascii="Century Gothic" w:hAnsi="Century Gothic"/>
          <w:b/>
        </w:rPr>
        <w:t xml:space="preserve">10.00 am </w:t>
      </w:r>
      <w:r w:rsidR="00214ADF">
        <w:rPr>
          <w:rFonts w:ascii="Century Gothic" w:hAnsi="Century Gothic"/>
        </w:rPr>
        <w:t>after</w:t>
      </w:r>
      <w:r w:rsidR="00156B58" w:rsidRPr="00B42CA7">
        <w:rPr>
          <w:rFonts w:ascii="Century Gothic" w:hAnsi="Century Gothic"/>
        </w:rPr>
        <w:t xml:space="preserve"> register</w:t>
      </w:r>
      <w:r w:rsidR="00214ADF">
        <w:rPr>
          <w:rFonts w:ascii="Century Gothic" w:hAnsi="Century Gothic"/>
        </w:rPr>
        <w:t xml:space="preserve">ing the bids </w:t>
      </w:r>
      <w:r w:rsidR="00156B58" w:rsidRPr="00B42CA7">
        <w:rPr>
          <w:rFonts w:ascii="Century Gothic" w:hAnsi="Century Gothic"/>
        </w:rPr>
        <w:t xml:space="preserve">with </w:t>
      </w:r>
      <w:r w:rsidR="00214ADF">
        <w:rPr>
          <w:rFonts w:ascii="Century Gothic" w:hAnsi="Century Gothic"/>
        </w:rPr>
        <w:t xml:space="preserve">the </w:t>
      </w:r>
      <w:r w:rsidR="00156B58" w:rsidRPr="00B42CA7">
        <w:rPr>
          <w:rFonts w:ascii="Century Gothic" w:hAnsi="Century Gothic"/>
        </w:rPr>
        <w:t>Porter</w:t>
      </w:r>
      <w:r w:rsidR="00214ADF">
        <w:rPr>
          <w:rFonts w:ascii="Century Gothic" w:hAnsi="Century Gothic"/>
        </w:rPr>
        <w:t xml:space="preserve"> at the reception</w:t>
      </w:r>
      <w:r w:rsidR="00156B58" w:rsidRPr="00B42CA7">
        <w:rPr>
          <w:rFonts w:ascii="Century Gothic" w:hAnsi="Century Gothic"/>
        </w:rPr>
        <w:t>.</w:t>
      </w:r>
    </w:p>
    <w:p w:rsidR="00156B58" w:rsidRPr="00B42CA7" w:rsidRDefault="00AC2CA1" w:rsidP="00B42CA7">
      <w:pPr>
        <w:ind w:left="720" w:hanging="360"/>
        <w:jc w:val="both"/>
        <w:rPr>
          <w:rFonts w:ascii="Century Gothic" w:hAnsi="Century Gothic"/>
        </w:rPr>
      </w:pPr>
      <w:r w:rsidRPr="00B42CA7">
        <w:rPr>
          <w:rFonts w:ascii="Century Gothic" w:hAnsi="Century Gothic"/>
        </w:rPr>
        <w:t>6.</w:t>
      </w:r>
      <w:r w:rsidRPr="00B42CA7">
        <w:rPr>
          <w:rFonts w:ascii="Century Gothic" w:hAnsi="Century Gothic"/>
        </w:rPr>
        <w:tab/>
      </w:r>
      <w:r w:rsidR="00156B58" w:rsidRPr="00B42CA7">
        <w:rPr>
          <w:rFonts w:ascii="Century Gothic" w:hAnsi="Century Gothic"/>
        </w:rPr>
        <w:t>Bids will be opened in the presence of the bidder’s represent</w:t>
      </w:r>
      <w:r w:rsidRPr="00B42CA7">
        <w:rPr>
          <w:rFonts w:ascii="Century Gothic" w:hAnsi="Century Gothic"/>
        </w:rPr>
        <w:t>ative</w:t>
      </w:r>
      <w:r w:rsidR="00F47B7A">
        <w:rPr>
          <w:rFonts w:ascii="Century Gothic" w:hAnsi="Century Gothic"/>
        </w:rPr>
        <w:t>s</w:t>
      </w:r>
      <w:r w:rsidRPr="00B42CA7">
        <w:rPr>
          <w:rFonts w:ascii="Century Gothic" w:hAnsi="Century Gothic"/>
        </w:rPr>
        <w:t xml:space="preserve"> who choose to attend </w:t>
      </w:r>
      <w:r w:rsidR="00B42CA7" w:rsidRPr="00B42CA7">
        <w:rPr>
          <w:rFonts w:ascii="Century Gothic" w:hAnsi="Century Gothic"/>
        </w:rPr>
        <w:t xml:space="preserve">on </w:t>
      </w:r>
      <w:r w:rsidR="00214ADF">
        <w:rPr>
          <w:rFonts w:ascii="Century Gothic" w:hAnsi="Century Gothic"/>
        </w:rPr>
        <w:t xml:space="preserve">Wednesday, </w:t>
      </w:r>
      <w:r w:rsidR="00214ADF">
        <w:rPr>
          <w:rFonts w:ascii="Century Gothic" w:hAnsi="Century Gothic"/>
          <w:b/>
        </w:rPr>
        <w:t>8</w:t>
      </w:r>
      <w:r w:rsidR="00214ADF" w:rsidRPr="00214ADF">
        <w:rPr>
          <w:rFonts w:ascii="Century Gothic" w:hAnsi="Century Gothic"/>
          <w:b/>
          <w:vertAlign w:val="superscript"/>
        </w:rPr>
        <w:t>th</w:t>
      </w:r>
      <w:r w:rsidR="00214ADF">
        <w:rPr>
          <w:rFonts w:ascii="Century Gothic" w:hAnsi="Century Gothic"/>
          <w:b/>
        </w:rPr>
        <w:t xml:space="preserve"> February 2023 </w:t>
      </w:r>
      <w:r w:rsidR="007E1EB7" w:rsidRPr="00B42CA7">
        <w:rPr>
          <w:rFonts w:ascii="Century Gothic" w:hAnsi="Century Gothic"/>
          <w:b/>
        </w:rPr>
        <w:t>starting</w:t>
      </w:r>
      <w:r w:rsidR="00156B58" w:rsidRPr="00B42CA7">
        <w:rPr>
          <w:rFonts w:ascii="Century Gothic" w:hAnsi="Century Gothic"/>
          <w:b/>
        </w:rPr>
        <w:t xml:space="preserve"> from 10.00 am </w:t>
      </w:r>
      <w:r w:rsidR="00214ADF">
        <w:rPr>
          <w:rFonts w:ascii="Century Gothic" w:hAnsi="Century Gothic"/>
          <w:b/>
        </w:rPr>
        <w:t>at</w:t>
      </w:r>
      <w:bookmarkStart w:id="1" w:name="_GoBack"/>
      <w:bookmarkEnd w:id="1"/>
      <w:r w:rsidR="00156B58" w:rsidRPr="00B42CA7">
        <w:rPr>
          <w:rFonts w:ascii="Century Gothic" w:hAnsi="Century Gothic"/>
          <w:b/>
        </w:rPr>
        <w:t xml:space="preserve"> the Senior Common Room</w:t>
      </w:r>
      <w:r w:rsidR="00156B58" w:rsidRPr="00B42CA7">
        <w:rPr>
          <w:rFonts w:ascii="Century Gothic" w:hAnsi="Century Gothic"/>
        </w:rPr>
        <w:t>.  Late bids shall be rejected.</w:t>
      </w:r>
    </w:p>
    <w:p w:rsidR="00156B58" w:rsidRDefault="00B42CA7" w:rsidP="00B42CA7">
      <w:pPr>
        <w:ind w:first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7.</w:t>
      </w:r>
      <w:r>
        <w:rPr>
          <w:rFonts w:ascii="Century Gothic" w:hAnsi="Century Gothic"/>
        </w:rPr>
        <w:tab/>
      </w:r>
      <w:r w:rsidR="00156B58" w:rsidRPr="00B42CA7">
        <w:rPr>
          <w:rFonts w:ascii="Century Gothic" w:hAnsi="Century Gothic"/>
        </w:rPr>
        <w:t>Sealed bids must be addressed to</w:t>
      </w:r>
      <w:r w:rsidR="00024151">
        <w:rPr>
          <w:rFonts w:ascii="Century Gothic" w:hAnsi="Century Gothic"/>
        </w:rPr>
        <w:t>:</w:t>
      </w:r>
    </w:p>
    <w:p w:rsidR="00156B58" w:rsidRPr="00B42CA7" w:rsidRDefault="00156B58" w:rsidP="00024151">
      <w:pPr>
        <w:spacing w:after="0" w:line="240" w:lineRule="auto"/>
        <w:jc w:val="center"/>
        <w:rPr>
          <w:rFonts w:ascii="Century Gothic" w:hAnsi="Century Gothic"/>
          <w:b/>
        </w:rPr>
      </w:pPr>
      <w:r w:rsidRPr="00B42CA7">
        <w:rPr>
          <w:rFonts w:ascii="Century Gothic" w:hAnsi="Century Gothic"/>
          <w:b/>
        </w:rPr>
        <w:t>The Chairperson</w:t>
      </w:r>
    </w:p>
    <w:p w:rsidR="00156B58" w:rsidRPr="00B42CA7" w:rsidRDefault="00156B58" w:rsidP="00024151">
      <w:pPr>
        <w:spacing w:after="0" w:line="240" w:lineRule="auto"/>
        <w:jc w:val="center"/>
        <w:rPr>
          <w:rFonts w:ascii="Century Gothic" w:hAnsi="Century Gothic"/>
          <w:b/>
        </w:rPr>
      </w:pPr>
      <w:r w:rsidRPr="00B42CA7">
        <w:rPr>
          <w:rFonts w:ascii="Century Gothic" w:hAnsi="Century Gothic"/>
          <w:b/>
        </w:rPr>
        <w:t>Internal Procurement and Disposal Committee</w:t>
      </w:r>
    </w:p>
    <w:p w:rsidR="007F445F" w:rsidRDefault="00156B58" w:rsidP="007F445F">
      <w:pPr>
        <w:spacing w:after="0" w:line="240" w:lineRule="auto"/>
        <w:jc w:val="center"/>
        <w:rPr>
          <w:rFonts w:ascii="Century Gothic" w:hAnsi="Century Gothic"/>
          <w:b/>
        </w:rPr>
      </w:pPr>
      <w:bookmarkStart w:id="2" w:name="_Hlk104547996"/>
      <w:r w:rsidRPr="00B42CA7">
        <w:rPr>
          <w:rFonts w:ascii="Century Gothic" w:hAnsi="Century Gothic"/>
          <w:b/>
        </w:rPr>
        <w:t>University of Malawi</w:t>
      </w:r>
      <w:bookmarkEnd w:id="2"/>
    </w:p>
    <w:p w:rsidR="00156B58" w:rsidRPr="00B42CA7" w:rsidRDefault="00156B58" w:rsidP="007F445F">
      <w:pPr>
        <w:spacing w:after="0" w:line="240" w:lineRule="auto"/>
        <w:jc w:val="center"/>
        <w:rPr>
          <w:rFonts w:ascii="Century Gothic" w:hAnsi="Century Gothic"/>
          <w:b/>
        </w:rPr>
      </w:pPr>
      <w:r w:rsidRPr="00B42CA7">
        <w:rPr>
          <w:rFonts w:ascii="Century Gothic" w:hAnsi="Century Gothic"/>
          <w:b/>
        </w:rPr>
        <w:t>P.O. Box 280</w:t>
      </w:r>
    </w:p>
    <w:p w:rsidR="00B42CA7" w:rsidRPr="00AC2CA1" w:rsidRDefault="00156B58" w:rsidP="00B42CA7">
      <w:pPr>
        <w:jc w:val="center"/>
        <w:rPr>
          <w:b/>
          <w:sz w:val="36"/>
          <w:szCs w:val="36"/>
        </w:rPr>
      </w:pPr>
      <w:r w:rsidRPr="00B42CA7">
        <w:rPr>
          <w:rFonts w:ascii="Century Gothic" w:hAnsi="Century Gothic"/>
          <w:b/>
        </w:rPr>
        <w:t>Zomba</w:t>
      </w:r>
    </w:p>
    <w:sectPr w:rsidR="00B42CA7" w:rsidRPr="00AC2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2CF" w:rsidRDefault="007B22CF" w:rsidP="006B66DF">
      <w:pPr>
        <w:spacing w:after="0" w:line="240" w:lineRule="auto"/>
      </w:pPr>
      <w:r>
        <w:separator/>
      </w:r>
    </w:p>
  </w:endnote>
  <w:endnote w:type="continuationSeparator" w:id="0">
    <w:p w:rsidR="007B22CF" w:rsidRDefault="007B22CF" w:rsidP="006B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2CF" w:rsidRDefault="007B22CF" w:rsidP="006B66DF">
      <w:pPr>
        <w:spacing w:after="0" w:line="240" w:lineRule="auto"/>
      </w:pPr>
      <w:r>
        <w:separator/>
      </w:r>
    </w:p>
  </w:footnote>
  <w:footnote w:type="continuationSeparator" w:id="0">
    <w:p w:rsidR="007B22CF" w:rsidRDefault="007B22CF" w:rsidP="006B6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344E"/>
    <w:multiLevelType w:val="hybridMultilevel"/>
    <w:tmpl w:val="AD2E4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2999"/>
    <w:multiLevelType w:val="hybridMultilevel"/>
    <w:tmpl w:val="A3F46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3755E"/>
    <w:multiLevelType w:val="hybridMultilevel"/>
    <w:tmpl w:val="3C4EE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11D70"/>
    <w:multiLevelType w:val="hybridMultilevel"/>
    <w:tmpl w:val="A3F46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E0"/>
    <w:rsid w:val="00024151"/>
    <w:rsid w:val="000368C3"/>
    <w:rsid w:val="00080D57"/>
    <w:rsid w:val="000A1CCA"/>
    <w:rsid w:val="000F2CE9"/>
    <w:rsid w:val="00156B58"/>
    <w:rsid w:val="0016587A"/>
    <w:rsid w:val="0018549C"/>
    <w:rsid w:val="0019212E"/>
    <w:rsid w:val="001A3F16"/>
    <w:rsid w:val="001E44DB"/>
    <w:rsid w:val="00200D37"/>
    <w:rsid w:val="002042B8"/>
    <w:rsid w:val="00214ADF"/>
    <w:rsid w:val="002A6433"/>
    <w:rsid w:val="00340439"/>
    <w:rsid w:val="00384FDA"/>
    <w:rsid w:val="00387157"/>
    <w:rsid w:val="00390B42"/>
    <w:rsid w:val="003911EB"/>
    <w:rsid w:val="003B72E6"/>
    <w:rsid w:val="003D68FF"/>
    <w:rsid w:val="0043160C"/>
    <w:rsid w:val="00493632"/>
    <w:rsid w:val="0049458A"/>
    <w:rsid w:val="004A2812"/>
    <w:rsid w:val="004E1BA0"/>
    <w:rsid w:val="00500882"/>
    <w:rsid w:val="00511F1C"/>
    <w:rsid w:val="005306F6"/>
    <w:rsid w:val="005471B4"/>
    <w:rsid w:val="0056021C"/>
    <w:rsid w:val="005635D9"/>
    <w:rsid w:val="00563FDC"/>
    <w:rsid w:val="005E7959"/>
    <w:rsid w:val="006450E8"/>
    <w:rsid w:val="006666F6"/>
    <w:rsid w:val="006959CC"/>
    <w:rsid w:val="006B66DF"/>
    <w:rsid w:val="00770824"/>
    <w:rsid w:val="00775BAE"/>
    <w:rsid w:val="00790FE0"/>
    <w:rsid w:val="007B068E"/>
    <w:rsid w:val="007B22CF"/>
    <w:rsid w:val="007E1EB7"/>
    <w:rsid w:val="007F445F"/>
    <w:rsid w:val="008F03C8"/>
    <w:rsid w:val="00947DCA"/>
    <w:rsid w:val="00977563"/>
    <w:rsid w:val="009F6003"/>
    <w:rsid w:val="00A1307D"/>
    <w:rsid w:val="00A15777"/>
    <w:rsid w:val="00A6460D"/>
    <w:rsid w:val="00AB0037"/>
    <w:rsid w:val="00AB036F"/>
    <w:rsid w:val="00AC2CA1"/>
    <w:rsid w:val="00AD640A"/>
    <w:rsid w:val="00B42CA7"/>
    <w:rsid w:val="00BB2111"/>
    <w:rsid w:val="00BD4C08"/>
    <w:rsid w:val="00C4175B"/>
    <w:rsid w:val="00C715F0"/>
    <w:rsid w:val="00CC1CD9"/>
    <w:rsid w:val="00D036D6"/>
    <w:rsid w:val="00DA7DBE"/>
    <w:rsid w:val="00E774B8"/>
    <w:rsid w:val="00EC65FD"/>
    <w:rsid w:val="00F20845"/>
    <w:rsid w:val="00F41D18"/>
    <w:rsid w:val="00F47B7A"/>
    <w:rsid w:val="00F6267D"/>
    <w:rsid w:val="00F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664E8"/>
  <w15:chartTrackingRefBased/>
  <w15:docId w15:val="{8C57962D-2943-4BBB-B610-8AD23BF0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6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6DF"/>
  </w:style>
  <w:style w:type="paragraph" w:styleId="Footer">
    <w:name w:val="footer"/>
    <w:basedOn w:val="Normal"/>
    <w:link w:val="FooterChar"/>
    <w:uiPriority w:val="99"/>
    <w:unhideWhenUsed/>
    <w:rsid w:val="006B6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6DF"/>
  </w:style>
  <w:style w:type="paragraph" w:styleId="ListParagraph">
    <w:name w:val="List Paragraph"/>
    <w:basedOn w:val="Normal"/>
    <w:uiPriority w:val="34"/>
    <w:qFormat/>
    <w:rsid w:val="006B6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PROCU_SEC</dc:creator>
  <cp:keywords/>
  <dc:description/>
  <cp:lastModifiedBy>procurement</cp:lastModifiedBy>
  <cp:revision>19</cp:revision>
  <cp:lastPrinted>2023-01-19T07:36:00Z</cp:lastPrinted>
  <dcterms:created xsi:type="dcterms:W3CDTF">2022-11-22T07:31:00Z</dcterms:created>
  <dcterms:modified xsi:type="dcterms:W3CDTF">2023-01-19T07:55:00Z</dcterms:modified>
</cp:coreProperties>
</file>